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95800" w:type="dxa"/>
        <w:gridCol w:w="294900" w:type="dxa"/>
      </w:tblGrid>
      <w:tblPr>
        <w:tblW w:w="170450" w:type="pct"/>
        <w:tblLayout w:type="autofit"/>
        <w:bidiVisual w:val="0"/>
      </w:tblPr>
      <w:tr>
        <w:trPr>
          <w:tblHeader w:val="1"/>
        </w:trPr>
        <w:tc>
          <w:tcPr>
            <w:tcW w:w="295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949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295800" w:type="pct"/>
            <w:vAlign w:val="center"/>
          </w:tcPr>
          <w:p>
            <w:pPr>
              <w:jc w:val="center"/>
            </w:pPr>
            <w:r>
              <w:rPr/>
              <w:t xml:space="preserve">Protocolo de actuación frente al acoso laboral en el Ayuntamiento de Puertollano</w:t>
            </w:r>
          </w:p>
        </w:tc>
        <w:tc>
          <w:tcPr>
            <w:tcW w:w="2949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2026-06-01T19:53:20+00:00</dcterms:created>
  <dcterms:modified xsi:type="dcterms:W3CDTF">2026-06-01T19:53:20+00:00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