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95800" w:type="dxa"/>
        <w:gridCol w:w="294900" w:type="dxa"/>
      </w:tblGrid>
      <w:tblPr>
        <w:tblW w:w="170450" w:type="pct"/>
        <w:tblLayout w:type="autofit"/>
        <w:bidiVisual w:val="0"/>
      </w:tblPr>
      <w:tr>
        <w:trPr>
          <w:tblHeader w:val="1"/>
        </w:trPr>
        <w:tc>
          <w:tcPr>
            <w:tcW w:w="29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94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95800" w:type="pct"/>
            <w:vAlign w:val="center"/>
          </w:tcPr>
          <w:p>
            <w:pPr>
              <w:jc w:val="center"/>
            </w:pPr>
            <w:r>
              <w:rPr/>
              <w:t xml:space="preserve">Protocolo de actuación frente al acoso sexual en el Ayuntamiento de Puertollano</w:t>
            </w:r>
          </w:p>
        </w:tc>
        <w:tc>
          <w:tcPr>
            <w:tcW w:w="294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2026-10-09T23:47:15+00:00</dcterms:created>
  <dcterms:modified xsi:type="dcterms:W3CDTF">2026-10-09T23:47:15+00:00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