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00" w:type="dxa"/>
        <w:gridCol w:w="3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500" w:type="pct"/>
          </w:tcPr>
          <w:p>
            <w:pPr/>
            <w:r>
              <w:rPr/>
              <w:t xml:space="preserve">Censo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500" w:type="pct"/>
          </w:tcPr>
          <w:p>
            <w:pPr/>
            <w:r>
              <w:rPr/>
              <w:t xml:space="preserve">45.565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500" w:type="pct"/>
          </w:tcPr>
          <w:p>
            <w:pPr/>
            <w:r>
              <w:rPr/>
              <w:t xml:space="preserve">45.195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500" w:type="pct"/>
          </w:tcPr>
          <w:p>
            <w:pPr/>
            <w:r>
              <w:rPr/>
              <w:t xml:space="preserve">45.127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3500" w:type="pct"/>
          </w:tcPr>
          <w:p>
            <w:pPr/>
            <w:r>
              <w:rPr/>
              <w:t xml:space="preserve">45.539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3500" w:type="pct"/>
          </w:tcPr>
          <w:p>
            <w:pPr/>
            <w:r>
              <w:rPr/>
              <w:t xml:space="preserve">46.036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3500" w:type="pct"/>
          </w:tcPr>
          <w:p>
            <w:pPr/>
            <w:r>
              <w:rPr/>
              <w:t xml:space="preserve">46.607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3500" w:type="pct"/>
          </w:tcPr>
          <w:p>
            <w:pPr/>
            <w:r>
              <w:rPr/>
              <w:t xml:space="preserve">47.035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3500" w:type="pct"/>
          </w:tcPr>
          <w:p>
            <w:pPr/>
            <w:r>
              <w:rPr/>
              <w:t xml:space="preserve">47.881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3500" w:type="pct"/>
          </w:tcPr>
          <w:p>
            <w:pPr/>
            <w:r>
              <w:rPr/>
              <w:t xml:space="preserve">48.477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2016</w:t>
            </w:r>
          </w:p>
        </w:tc>
        <w:tc>
          <w:tcPr>
            <w:tcW w:w="3500" w:type="pct"/>
          </w:tcPr>
          <w:p>
            <w:pPr/>
            <w:r>
              <w:rPr/>
              <w:t xml:space="preserve">49.166 hab.</w:t>
            </w:r>
          </w:p>
        </w:tc>
      </w:tr>
      <w:tr>
        <w:trPr/>
        <w:tc>
          <w:tcPr>
            <w:tcW w:w="1500" w:type="pct"/>
            <w:gridSpan w:val="2"/>
          </w:tcPr>
          <w:p>
            <w:pPr/>
            <w:r>
              <w:rPr/>
              <w:t xml:space="preserve">2015</w:t>
            </w:r>
          </w:p>
        </w:tc>
        <w:tc>
          <w:tcPr>
            <w:tcW w:w="3500" w:type="pct"/>
          </w:tcPr>
          <w:p>
            <w:pPr/>
            <w:r>
              <w:rPr/>
              <w:t xml:space="preserve">50.035 hab.</w:t>
            </w:r>
          </w:p>
        </w:tc>
      </w:tr>
    </w:tbl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Población por Edades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Población Extranjera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Población por sexo, edad y nacionalidad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Población por sexo y relación entre lugar de nacimiento y lugar de residencia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Edad media por sexo y nacionalidad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Población y nivel de estudios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Hogares por municipios y tamaño del hogar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Indicadores de distribución de consumo eléctrico 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Total viviendas familiares convencionales por tipo de vivienda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Viviendas por intensidad de uso a partir del consumo eléctrico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Paro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Paro municipal por edad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Paro municipal por nivel de estudios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Para municipal por ocupación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Paro municipal por sectores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Paro municipal por sexo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2026-06-01T19:52:51+00:00</dcterms:created>
  <dcterms:modified xsi:type="dcterms:W3CDTF">2026-06-01T19:52:51+00:00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