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00" w:type="dxa"/>
        <w:gridCol w:w="3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500" w:type="pct"/>
          </w:tcPr>
          <w:p>
            <w:pPr/>
            <w:r>
              <w:rPr/>
              <w:t xml:space="preserve">Censo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500" w:type="pct"/>
          </w:tcPr>
          <w:p>
            <w:pPr/>
            <w:r>
              <w:rPr/>
              <w:t xml:space="preserve">45.565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500" w:type="pct"/>
          </w:tcPr>
          <w:p>
            <w:pPr/>
            <w:r>
              <w:rPr/>
              <w:t xml:space="preserve">45.195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500" w:type="pct"/>
          </w:tcPr>
          <w:p>
            <w:pPr/>
            <w:r>
              <w:rPr/>
              <w:t xml:space="preserve">45.127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500" w:type="pct"/>
          </w:tcPr>
          <w:p>
            <w:pPr/>
            <w:r>
              <w:rPr/>
              <w:t xml:space="preserve">45.539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500" w:type="pct"/>
          </w:tcPr>
          <w:p>
            <w:pPr/>
            <w:r>
              <w:rPr/>
              <w:t xml:space="preserve">46.036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500" w:type="pct"/>
          </w:tcPr>
          <w:p>
            <w:pPr/>
            <w:r>
              <w:rPr/>
              <w:t xml:space="preserve">46.607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500" w:type="pct"/>
          </w:tcPr>
          <w:p>
            <w:pPr/>
            <w:r>
              <w:rPr/>
              <w:t xml:space="preserve">47.035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3500" w:type="pct"/>
          </w:tcPr>
          <w:p>
            <w:pPr/>
            <w:r>
              <w:rPr/>
              <w:t xml:space="preserve">47.881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3500" w:type="pct"/>
          </w:tcPr>
          <w:p>
            <w:pPr/>
            <w:r>
              <w:rPr/>
              <w:t xml:space="preserve">48.477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3500" w:type="pct"/>
          </w:tcPr>
          <w:p>
            <w:pPr/>
            <w:r>
              <w:rPr/>
              <w:t xml:space="preserve">49.166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3500" w:type="pct"/>
          </w:tcPr>
          <w:p>
            <w:pPr/>
            <w:r>
              <w:rPr/>
              <w:t xml:space="preserve">50.035 hab.</w:t>
            </w:r>
          </w:p>
        </w:tc>
      </w:tr>
    </w:tbl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Edades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Extranjera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sexo, edad y nacionalidad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sexo y relación entre lugar de nacimiento y lugar de residencia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Edad media por sexo y nacionalidad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y nivel de estudios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Hogares por municipios y tamaño del hogar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Indicadores de distribución de consumo eléctrico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Total viviendas familiares convencionales por tipo de vivienda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Viviendas por intensidad de uso a partir del consumo eléctrico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Paro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Paro municipal por edad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nivel de estudios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Para municipal por ocupación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sectores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sexo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2026-07-19T08:48:52+00:00</dcterms:created>
  <dcterms:modified xsi:type="dcterms:W3CDTF">2026-07-19T08:48:52+00:00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